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70" w:type="dxa"/>
        <w:tblBorders>
          <w:top w:val="single" w:sz="6" w:space="0" w:color="003F87"/>
          <w:left w:val="single" w:sz="6" w:space="0" w:color="003F87"/>
          <w:bottom w:val="single" w:sz="6" w:space="0" w:color="003F87"/>
          <w:right w:val="single" w:sz="6" w:space="0" w:color="003F87"/>
        </w:tblBorders>
        <w:tblCellMar>
          <w:top w:w="45" w:type="dxa"/>
          <w:left w:w="45" w:type="dxa"/>
          <w:bottom w:w="45" w:type="dxa"/>
          <w:right w:w="45" w:type="dxa"/>
        </w:tblCellMar>
        <w:tblLook w:val="04A0"/>
      </w:tblPr>
      <w:tblGrid>
        <w:gridCol w:w="6250"/>
        <w:gridCol w:w="4166"/>
      </w:tblGrid>
      <w:tr w:rsidR="00491BB2" w:rsidRPr="00491BB2" w:rsidTr="00491BB2">
        <w:trPr>
          <w:tblCellSpacing w:w="0" w:type="dxa"/>
        </w:trPr>
        <w:tc>
          <w:tcPr>
            <w:tcW w:w="3000" w:type="pct"/>
            <w:tcBorders>
              <w:bottom w:val="single" w:sz="6" w:space="0" w:color="003F87"/>
              <w:right w:val="single" w:sz="6" w:space="0" w:color="003F87"/>
            </w:tcBorders>
            <w:shd w:val="clear" w:color="auto" w:fill="003F87"/>
            <w:vAlign w:val="center"/>
            <w:hideMark/>
          </w:tcPr>
          <w:p w:rsidR="00491BB2" w:rsidRPr="00491BB2" w:rsidRDefault="00491BB2" w:rsidP="00491BB2">
            <w:pPr>
              <w:shd w:val="clear" w:color="auto" w:fill="003F87"/>
              <w:spacing w:before="57" w:after="0" w:line="240" w:lineRule="auto"/>
              <w:textAlignment w:val="center"/>
              <w:rPr>
                <w:rFonts w:ascii="Verdana" w:eastAsia="Times New Roman" w:hAnsi="Verdana" w:cs="Times New Roman"/>
                <w:b/>
                <w:bCs/>
                <w:color w:val="FFFFFF"/>
                <w:sz w:val="19"/>
                <w:szCs w:val="19"/>
                <w:lang w:eastAsia="ru-RU"/>
              </w:rPr>
            </w:pPr>
            <w:r w:rsidRPr="00491BB2">
              <w:rPr>
                <w:rFonts w:ascii="Verdana" w:eastAsia="Times New Roman" w:hAnsi="Verdana" w:cs="Times New Roman"/>
                <w:b/>
                <w:bCs/>
                <w:color w:val="FFFFFF"/>
                <w:sz w:val="19"/>
                <w:szCs w:val="19"/>
                <w:lang w:eastAsia="ru-RU"/>
              </w:rPr>
              <w:t>8U217 - Transit - FWD - cDPF - Датчики температуры отработавших газов</w:t>
            </w:r>
          </w:p>
        </w:tc>
        <w:tc>
          <w:tcPr>
            <w:tcW w:w="0" w:type="auto"/>
            <w:tcBorders>
              <w:bottom w:val="single" w:sz="6" w:space="0" w:color="003F87"/>
            </w:tcBorders>
            <w:noWrap/>
            <w:vAlign w:val="center"/>
            <w:hideMark/>
          </w:tcPr>
          <w:p w:rsidR="00491BB2" w:rsidRPr="00491BB2" w:rsidRDefault="00491BB2" w:rsidP="00491BB2">
            <w:pPr>
              <w:spacing w:before="57" w:after="0" w:line="240" w:lineRule="auto"/>
              <w:jc w:val="right"/>
              <w:rPr>
                <w:rFonts w:ascii="Verdana" w:eastAsia="Times New Roman" w:hAnsi="Verdana" w:cs="Times New Roman"/>
                <w:color w:val="003F87"/>
                <w:sz w:val="16"/>
                <w:szCs w:val="16"/>
                <w:lang w:eastAsia="ru-RU"/>
              </w:rPr>
            </w:pPr>
            <w:r w:rsidRPr="00491BB2">
              <w:rPr>
                <w:rFonts w:ascii="Verdana" w:eastAsia="Times New Roman" w:hAnsi="Verdana" w:cs="Times New Roman"/>
                <w:color w:val="003F87"/>
                <w:sz w:val="16"/>
                <w:szCs w:val="16"/>
                <w:lang w:eastAsia="ru-RU"/>
              </w:rPr>
              <w:t>Дата публикации: 23.12.08</w:t>
            </w:r>
          </w:p>
          <w:p w:rsidR="00491BB2" w:rsidRPr="00491BB2" w:rsidRDefault="00491BB2" w:rsidP="00491BB2">
            <w:pPr>
              <w:spacing w:before="57" w:after="0" w:line="240" w:lineRule="auto"/>
              <w:jc w:val="right"/>
              <w:rPr>
                <w:rFonts w:ascii="Verdana" w:eastAsia="Times New Roman" w:hAnsi="Verdana" w:cs="Times New Roman"/>
                <w:color w:val="003F87"/>
                <w:sz w:val="16"/>
                <w:szCs w:val="16"/>
                <w:lang w:eastAsia="ru-RU"/>
              </w:rPr>
            </w:pPr>
            <w:r w:rsidRPr="00491BB2">
              <w:rPr>
                <w:rFonts w:ascii="Verdana" w:eastAsia="Times New Roman" w:hAnsi="Verdana" w:cs="Times New Roman"/>
                <w:color w:val="003F87"/>
                <w:sz w:val="16"/>
                <w:szCs w:val="16"/>
                <w:lang w:eastAsia="ru-RU"/>
              </w:rPr>
              <w:t>Дата истечения: 23.12.10</w:t>
            </w:r>
          </w:p>
        </w:tc>
      </w:tr>
      <w:tr w:rsidR="00491BB2" w:rsidRPr="00491BB2" w:rsidTr="00491BB2">
        <w:trPr>
          <w:tblCellSpacing w:w="0" w:type="dxa"/>
        </w:trPr>
        <w:tc>
          <w:tcPr>
            <w:tcW w:w="5000" w:type="pct"/>
            <w:gridSpan w:val="2"/>
            <w:vAlign w:val="center"/>
            <w:hideMark/>
          </w:tcPr>
          <w:p w:rsidR="00491BB2" w:rsidRPr="00491BB2" w:rsidRDefault="00491BB2" w:rsidP="00491BB2">
            <w:pPr>
              <w:spacing w:after="0" w:line="240" w:lineRule="auto"/>
              <w:jc w:val="center"/>
              <w:textAlignment w:val="bottom"/>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238125" cy="180975"/>
                  <wp:effectExtent l="0" t="0" r="9525" b="0"/>
                  <wp:docPr id="1" name="Рисунок 1" descr="Просмотреть HTML-версию этого документа, доступную для печа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еть HTML-версию этого документа, доступную для печати">
                            <a:hlinkClick r:id="rId5"/>
                          </pic:cNvPr>
                          <pic:cNvPicPr>
                            <a:picLocks noChangeAspect="1" noChangeArrowheads="1"/>
                          </pic:cNvPicPr>
                        </pic:nvPicPr>
                        <pic:blipFill>
                          <a:blip r:embed="rId6"/>
                          <a:srcRect/>
                          <a:stretch>
                            <a:fillRect/>
                          </a:stretch>
                        </pic:blipFill>
                        <pic:spPr bwMode="auto">
                          <a:xfrm>
                            <a:off x="0" y="0"/>
                            <a:ext cx="238125" cy="180975"/>
                          </a:xfrm>
                          <a:prstGeom prst="rect">
                            <a:avLst/>
                          </a:prstGeom>
                          <a:noFill/>
                          <a:ln w="9525">
                            <a:noFill/>
                            <a:miter lim="800000"/>
                            <a:headEnd/>
                            <a:tailEnd/>
                          </a:ln>
                        </pic:spPr>
                      </pic:pic>
                    </a:graphicData>
                  </a:graphic>
                </wp:inline>
              </w:drawing>
            </w:r>
            <w:hyperlink r:id="rId7" w:history="1">
              <w:r w:rsidRPr="00491BB2">
                <w:rPr>
                  <w:rFonts w:ascii="Verdana" w:eastAsia="Times New Roman" w:hAnsi="Verdana" w:cs="Times New Roman"/>
                  <w:color w:val="0000FF"/>
                  <w:sz w:val="19"/>
                  <w:lang w:eastAsia="ru-RU"/>
                </w:rPr>
                <w:t>[Страница HTML, доступная для печати]</w:t>
              </w:r>
            </w:hyperlink>
            <w:r w:rsidRPr="00491BB2">
              <w:rPr>
                <w:rFonts w:ascii="Verdana" w:eastAsia="Times New Roman" w:hAnsi="Verdana" w:cs="Times New Roman"/>
                <w:color w:val="000000"/>
                <w:sz w:val="19"/>
                <w:szCs w:val="19"/>
                <w:lang w:eastAsia="ru-RU"/>
              </w:rPr>
              <w:t xml:space="preserve"> </w:t>
            </w:r>
          </w:p>
        </w:tc>
      </w:tr>
      <w:tr w:rsidR="00491BB2" w:rsidRPr="00491BB2" w:rsidTr="00491BB2">
        <w:trPr>
          <w:tblCellSpacing w:w="0" w:type="dxa"/>
        </w:trPr>
        <w:tc>
          <w:tcPr>
            <w:tcW w:w="5000" w:type="pct"/>
            <w:gridSpan w:val="2"/>
            <w:hideMark/>
          </w:tcPr>
          <w:p w:rsidR="00491BB2" w:rsidRPr="00491BB2" w:rsidRDefault="00491BB2" w:rsidP="00491BB2">
            <w:pPr>
              <w:spacing w:after="0" w:line="240" w:lineRule="auto"/>
              <w:rPr>
                <w:rFonts w:ascii="Verdana" w:eastAsia="Times New Roman" w:hAnsi="Verdana" w:cs="Times New Roman"/>
                <w:b/>
                <w:bCs/>
                <w:color w:val="003F87"/>
                <w:sz w:val="19"/>
                <w:szCs w:val="19"/>
                <w:lang w:eastAsia="ru-RU"/>
              </w:rPr>
            </w:pPr>
            <w:r w:rsidRPr="00491BB2">
              <w:rPr>
                <w:rFonts w:ascii="Verdana" w:eastAsia="Times New Roman" w:hAnsi="Verdana" w:cs="Times New Roman"/>
                <w:b/>
                <w:bCs/>
                <w:color w:val="003F87"/>
                <w:sz w:val="19"/>
                <w:szCs w:val="19"/>
                <w:lang w:eastAsia="ru-RU"/>
              </w:rPr>
              <w:t>КРАТКАЯ ИНФОРМАЦИЯ</w:t>
            </w:r>
          </w:p>
          <w:p w:rsidR="00491BB2" w:rsidRPr="00491BB2" w:rsidRDefault="00491BB2" w:rsidP="00491BB2">
            <w:pPr>
              <w:spacing w:after="180" w:line="240" w:lineRule="auto"/>
              <w:rPr>
                <w:rFonts w:ascii="Verdana" w:eastAsia="Times New Roman" w:hAnsi="Verdana" w:cs="Times New Roman"/>
                <w:color w:val="000000"/>
                <w:sz w:val="20"/>
                <w:szCs w:val="20"/>
                <w:lang w:eastAsia="ru-RU"/>
              </w:rPr>
            </w:pPr>
            <w:r w:rsidRPr="00491BB2">
              <w:rPr>
                <w:rFonts w:ascii="Verdana" w:eastAsia="Times New Roman" w:hAnsi="Verdana" w:cs="Times New Roman"/>
                <w:color w:val="000000"/>
                <w:sz w:val="20"/>
                <w:szCs w:val="20"/>
                <w:lang w:eastAsia="ru-RU"/>
              </w:rPr>
              <w:t>Небольшая партия автомобилей Transit с передним приводом, оснащенных сажевым фильтром с покрытием (cDPF), были оборудованы датчиками температуры отработавших газов (EGTS), которые до установки могли быть повреждены вследствие длительного воздействия воды. Неисправный датчик может давать неточные показания, что может инициировать ненужную регенерацию cDPF и в результате привести к появлению трещин в cDPF.</w:t>
            </w:r>
          </w:p>
          <w:p w:rsidR="00491BB2" w:rsidRPr="00491BB2" w:rsidRDefault="00491BB2" w:rsidP="00491BB2">
            <w:pPr>
              <w:spacing w:after="0" w:line="240" w:lineRule="auto"/>
              <w:rPr>
                <w:rFonts w:ascii="Verdana" w:eastAsia="Times New Roman" w:hAnsi="Verdana" w:cs="Times New Roman"/>
                <w:b/>
                <w:bCs/>
                <w:color w:val="003F87"/>
                <w:sz w:val="19"/>
                <w:szCs w:val="19"/>
                <w:lang w:eastAsia="ru-RU"/>
              </w:rPr>
            </w:pPr>
            <w:r w:rsidRPr="00491BB2">
              <w:rPr>
                <w:rFonts w:ascii="Verdana" w:eastAsia="Times New Roman" w:hAnsi="Verdana" w:cs="Times New Roman"/>
                <w:b/>
                <w:bCs/>
                <w:color w:val="003F87"/>
                <w:sz w:val="19"/>
                <w:szCs w:val="19"/>
                <w:lang w:eastAsia="ru-RU"/>
              </w:rPr>
              <w:t>ТРЕБУЕМЫЕ ЗАПАСНЫЕ ЧАСТИ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3"/>
              <w:gridCol w:w="2081"/>
              <w:gridCol w:w="968"/>
              <w:gridCol w:w="718"/>
            </w:tblGrid>
            <w:tr w:rsidR="00491BB2" w:rsidRPr="00491B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b/>
                      <w:bCs/>
                      <w:color w:val="000000"/>
                      <w:sz w:val="19"/>
                      <w:szCs w:val="19"/>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b/>
                      <w:bCs/>
                      <w:color w:val="000000"/>
                      <w:sz w:val="19"/>
                      <w:szCs w:val="19"/>
                      <w:lang w:eastAsia="ru-RU"/>
                    </w:rPr>
                    <w:t>Номер запасной части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b/>
                      <w:bCs/>
                      <w:color w:val="000000"/>
                      <w:sz w:val="19"/>
                      <w:szCs w:val="19"/>
                      <w:lang w:eastAsia="ru-RU"/>
                    </w:rPr>
                    <w:t>Код Finis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b/>
                      <w:bCs/>
                      <w:color w:val="000000"/>
                      <w:sz w:val="19"/>
                      <w:szCs w:val="19"/>
                      <w:lang w:eastAsia="ru-RU"/>
                    </w:rPr>
                    <w:t>Кол-во</w:t>
                  </w:r>
                </w:p>
              </w:tc>
            </w:tr>
            <w:tr w:rsidR="00491BB2" w:rsidRPr="00491B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Датчик температуры отработавших газов (перед каталитическим нейтрализатором)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8C11-12B591-CA</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1496243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1</w:t>
                  </w:r>
                </w:p>
              </w:tc>
            </w:tr>
            <w:tr w:rsidR="00491BB2" w:rsidRPr="00491B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Датчик температуры отработавших газов (перед cDPF)</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6S71-12B591-BA</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1381181</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1</w:t>
                  </w:r>
                </w:p>
              </w:tc>
            </w:tr>
          </w:tbl>
          <w:p w:rsidR="00491BB2" w:rsidRPr="00491BB2" w:rsidRDefault="00491BB2" w:rsidP="00491BB2">
            <w:pPr>
              <w:spacing w:after="0" w:line="240" w:lineRule="auto"/>
              <w:rPr>
                <w:rFonts w:ascii="Verdana" w:eastAsia="Times New Roman" w:hAnsi="Verdana" w:cs="Times New Roman"/>
                <w:b/>
                <w:bCs/>
                <w:color w:val="003F87"/>
                <w:sz w:val="19"/>
                <w:szCs w:val="19"/>
                <w:lang w:eastAsia="ru-RU"/>
              </w:rPr>
            </w:pPr>
            <w:r w:rsidRPr="00491BB2">
              <w:rPr>
                <w:rFonts w:ascii="Verdana" w:eastAsia="Times New Roman" w:hAnsi="Verdana" w:cs="Times New Roman"/>
                <w:b/>
                <w:bCs/>
                <w:color w:val="003F87"/>
                <w:sz w:val="19"/>
                <w:szCs w:val="19"/>
                <w:lang w:eastAsia="ru-RU"/>
              </w:rPr>
              <w:t>ПОЛУЧЕНИЕ ЗАПАСНЫХ ЧАСТЕЙ</w:t>
            </w:r>
          </w:p>
          <w:p w:rsidR="00491BB2" w:rsidRPr="00491BB2" w:rsidRDefault="00491BB2" w:rsidP="00491BB2">
            <w:pPr>
              <w:spacing w:after="180" w:line="240" w:lineRule="auto"/>
              <w:rPr>
                <w:rFonts w:ascii="Verdana" w:eastAsia="Times New Roman" w:hAnsi="Verdana" w:cs="Times New Roman"/>
                <w:color w:val="000000"/>
                <w:sz w:val="20"/>
                <w:szCs w:val="20"/>
                <w:lang w:eastAsia="ru-RU"/>
              </w:rPr>
            </w:pPr>
            <w:r w:rsidRPr="00491BB2">
              <w:rPr>
                <w:rFonts w:ascii="Verdana" w:eastAsia="Times New Roman" w:hAnsi="Verdana" w:cs="Times New Roman"/>
                <w:color w:val="000000"/>
                <w:sz w:val="20"/>
                <w:szCs w:val="20"/>
                <w:lang w:eastAsia="ru-RU"/>
              </w:rPr>
              <w:t>Запасные части следует получить, используя обычно применяемый вами процесс размещения заказов на запасные части.</w:t>
            </w:r>
          </w:p>
          <w:p w:rsidR="00491BB2" w:rsidRPr="00491BB2" w:rsidRDefault="00491BB2" w:rsidP="00491BB2">
            <w:pPr>
              <w:spacing w:after="0" w:line="240" w:lineRule="auto"/>
              <w:rPr>
                <w:rFonts w:ascii="Verdana" w:eastAsia="Times New Roman" w:hAnsi="Verdana" w:cs="Times New Roman"/>
                <w:b/>
                <w:bCs/>
                <w:color w:val="003F87"/>
                <w:sz w:val="19"/>
                <w:szCs w:val="19"/>
                <w:lang w:eastAsia="ru-RU"/>
              </w:rPr>
            </w:pPr>
            <w:r w:rsidRPr="00491BB2">
              <w:rPr>
                <w:rFonts w:ascii="Verdana" w:eastAsia="Times New Roman" w:hAnsi="Verdana" w:cs="Times New Roman"/>
                <w:b/>
                <w:bCs/>
                <w:color w:val="003F87"/>
                <w:sz w:val="19"/>
                <w:szCs w:val="19"/>
                <w:lang w:eastAsia="ru-RU"/>
              </w:rPr>
              <w:t>Замена обоих датчиков температуры отработавших газов</w:t>
            </w:r>
          </w:p>
          <w:tbl>
            <w:tblPr>
              <w:tblW w:w="5000" w:type="pct"/>
              <w:tblCellSpacing w:w="15" w:type="dxa"/>
              <w:tblCellMar>
                <w:top w:w="15" w:type="dxa"/>
                <w:left w:w="15" w:type="dxa"/>
                <w:bottom w:w="15" w:type="dxa"/>
                <w:right w:w="15" w:type="dxa"/>
              </w:tblCellMar>
              <w:tblLook w:val="04A0"/>
            </w:tblPr>
            <w:tblGrid>
              <w:gridCol w:w="3795"/>
              <w:gridCol w:w="6501"/>
            </w:tblGrid>
            <w:tr w:rsidR="00491BB2" w:rsidRPr="00491BB2">
              <w:trPr>
                <w:tblCellSpacing w:w="15" w:type="dxa"/>
              </w:trPr>
              <w:tc>
                <w:tcPr>
                  <w:tcW w:w="3750" w:type="dxa"/>
                  <w:hideMark/>
                </w:tcPr>
                <w:p w:rsidR="00491BB2" w:rsidRPr="00491BB2" w:rsidRDefault="00491BB2" w:rsidP="00491BB2">
                  <w:pPr>
                    <w:spacing w:after="180" w:line="240" w:lineRule="auto"/>
                    <w:rPr>
                      <w:rFonts w:ascii="Verdana" w:eastAsia="Times New Roman" w:hAnsi="Verdana" w:cs="Times New Roman"/>
                      <w:color w:val="000000"/>
                      <w:sz w:val="20"/>
                      <w:szCs w:val="20"/>
                      <w:lang w:eastAsia="ru-RU"/>
                    </w:rPr>
                  </w:pPr>
                  <w:bookmarkStart w:id="0" w:name="illus0"/>
                  <w:bookmarkEnd w:id="0"/>
                  <w:r>
                    <w:rPr>
                      <w:rFonts w:ascii="Verdana" w:eastAsia="Times New Roman" w:hAnsi="Verdana" w:cs="Times New Roman"/>
                      <w:noProof/>
                      <w:color w:val="000000"/>
                      <w:sz w:val="20"/>
                      <w:szCs w:val="20"/>
                      <w:lang w:eastAsia="ru-RU"/>
                    </w:rPr>
                    <w:drawing>
                      <wp:inline distT="0" distB="0" distL="0" distR="0">
                        <wp:extent cx="2295525" cy="1457325"/>
                        <wp:effectExtent l="19050" t="0" r="9525" b="0"/>
                        <wp:docPr id="2" name="Рисунок 2" descr="E11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16060"/>
                                <pic:cNvPicPr>
                                  <a:picLocks noChangeAspect="1" noChangeArrowheads="1"/>
                                </pic:cNvPicPr>
                              </pic:nvPicPr>
                              <pic:blipFill>
                                <a:blip r:embed="rId8"/>
                                <a:srcRect/>
                                <a:stretch>
                                  <a:fillRect/>
                                </a:stretch>
                              </pic:blipFill>
                              <pic:spPr bwMode="auto">
                                <a:xfrm>
                                  <a:off x="0" y="0"/>
                                  <a:ext cx="2295525" cy="1457325"/>
                                </a:xfrm>
                                <a:prstGeom prst="rect">
                                  <a:avLst/>
                                </a:prstGeom>
                                <a:noFill/>
                                <a:ln w="9525">
                                  <a:noFill/>
                                  <a:miter lim="800000"/>
                                  <a:headEnd/>
                                  <a:tailEnd/>
                                </a:ln>
                              </pic:spPr>
                            </pic:pic>
                          </a:graphicData>
                        </a:graphic>
                      </wp:inline>
                    </w:drawing>
                  </w:r>
                </w:p>
              </w:tc>
              <w:tc>
                <w:tcPr>
                  <w:tcW w:w="0" w:type="auto"/>
                  <w:hideMark/>
                </w:tcPr>
                <w:p w:rsidR="00491BB2" w:rsidRPr="00491BB2" w:rsidRDefault="00491BB2" w:rsidP="00491BB2">
                  <w:pPr>
                    <w:numPr>
                      <w:ilvl w:val="0"/>
                      <w:numId w:val="1"/>
                    </w:num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Замените оба датчика температуры отработавших газов, затяните усилием 35 Нм.</w:t>
                  </w:r>
                </w:p>
              </w:tc>
            </w:tr>
          </w:tbl>
          <w:p w:rsidR="00491BB2" w:rsidRPr="00491BB2" w:rsidRDefault="00491BB2" w:rsidP="00491BB2">
            <w:pPr>
              <w:spacing w:after="0" w:line="240" w:lineRule="auto"/>
              <w:rPr>
                <w:rFonts w:ascii="Verdana" w:eastAsia="Times New Roman" w:hAnsi="Verdana" w:cs="Times New Roman"/>
                <w:b/>
                <w:bCs/>
                <w:color w:val="003F87"/>
                <w:sz w:val="19"/>
                <w:szCs w:val="19"/>
                <w:lang w:eastAsia="ru-RU"/>
              </w:rPr>
            </w:pPr>
            <w:r w:rsidRPr="00491BB2">
              <w:rPr>
                <w:rFonts w:ascii="Verdana" w:eastAsia="Times New Roman" w:hAnsi="Verdana" w:cs="Times New Roman"/>
                <w:b/>
                <w:bCs/>
                <w:color w:val="003F87"/>
                <w:sz w:val="19"/>
                <w:szCs w:val="19"/>
                <w:lang w:eastAsia="ru-RU"/>
              </w:rPr>
              <w:t>ПРОЦЕДУРЫ ВОЗМЕЩЕНИЯ РАСХОДОВ</w:t>
            </w:r>
          </w:p>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Оформление претензий</w:t>
            </w:r>
          </w:p>
          <w:p w:rsidR="00491BB2" w:rsidRPr="00491BB2" w:rsidRDefault="00491BB2" w:rsidP="00491BB2">
            <w:pPr>
              <w:spacing w:after="180" w:line="240" w:lineRule="auto"/>
              <w:rPr>
                <w:rFonts w:ascii="Verdana" w:eastAsia="Times New Roman" w:hAnsi="Verdana" w:cs="Times New Roman"/>
                <w:color w:val="000000"/>
                <w:sz w:val="20"/>
                <w:szCs w:val="20"/>
                <w:lang w:eastAsia="ru-RU"/>
              </w:rPr>
            </w:pPr>
            <w:r w:rsidRPr="00491BB2">
              <w:rPr>
                <w:rFonts w:ascii="Verdana" w:eastAsia="Times New Roman" w:hAnsi="Verdana" w:cs="Times New Roman"/>
                <w:color w:val="000000"/>
                <w:sz w:val="20"/>
                <w:szCs w:val="20"/>
                <w:lang w:eastAsia="ru-RU"/>
              </w:rPr>
              <w:t>Требования о возмещении расходов, связанных с описываемыми работами, следует оформлять в соответствии с обычными процедурами подачи претензий по специальным программам обслуживания. Эти процедуры описаны в разделе ‘J’ руководства по гарантийному обслуживанию. Важно, чтобы оформление и подача претензий, связанных с этой кампанией, осуществлялось в приоритетном порядке. Это необходимо для точного контроля за количеством откликов клиентов и для исключения автомобилей из раздела “Непройденные специальные программы обслуживания” системы OASIS.</w:t>
            </w:r>
          </w:p>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Нормы рабочего времени и коды операций</w:t>
            </w:r>
          </w:p>
          <w:p w:rsidR="00491BB2" w:rsidRPr="00491BB2" w:rsidRDefault="00491BB2" w:rsidP="00491BB2">
            <w:pPr>
              <w:spacing w:after="180" w:line="240" w:lineRule="auto"/>
              <w:rPr>
                <w:rFonts w:ascii="Verdana" w:eastAsia="Times New Roman" w:hAnsi="Verdana" w:cs="Times New Roman"/>
                <w:color w:val="000000"/>
                <w:sz w:val="20"/>
                <w:szCs w:val="20"/>
                <w:lang w:eastAsia="ru-RU"/>
              </w:rPr>
            </w:pPr>
            <w:r w:rsidRPr="00491BB2">
              <w:rPr>
                <w:rFonts w:ascii="Verdana" w:eastAsia="Times New Roman" w:hAnsi="Verdana" w:cs="Times New Roman"/>
                <w:color w:val="000000"/>
                <w:sz w:val="20"/>
                <w:szCs w:val="20"/>
                <w:lang w:eastAsia="ru-RU"/>
              </w:rPr>
              <w:t>Примечание: По претензии, в которой указан один из перечисленных ниже кодов операций, выплачивается сумма, включающая И указанное время выполнения работ, И стоимость соответствующих запасных частей. Подавать какие-либо дополнительные претензии не требуется.</w:t>
            </w:r>
          </w:p>
          <w:p w:rsidR="00491BB2" w:rsidRPr="00491BB2" w:rsidRDefault="00491BB2" w:rsidP="00491BB2">
            <w:pPr>
              <w:spacing w:after="180" w:line="240" w:lineRule="auto"/>
              <w:rPr>
                <w:rFonts w:ascii="Verdana" w:eastAsia="Times New Roman" w:hAnsi="Verdana" w:cs="Times New Roman"/>
                <w:color w:val="000000"/>
                <w:sz w:val="20"/>
                <w:szCs w:val="20"/>
                <w:lang w:eastAsia="ru-RU"/>
              </w:rPr>
            </w:pPr>
            <w:r w:rsidRPr="00491BB2">
              <w:rPr>
                <w:rFonts w:ascii="Verdana" w:eastAsia="Times New Roman" w:hAnsi="Verdana" w:cs="Times New Roman"/>
                <w:color w:val="000000"/>
                <w:sz w:val="20"/>
                <w:szCs w:val="20"/>
                <w:lang w:eastAsia="ru-RU"/>
              </w:rPr>
              <w:t>Укажите следующую информацию:</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6"/>
              <w:gridCol w:w="919"/>
              <w:gridCol w:w="2175"/>
            </w:tblGrid>
            <w:tr w:rsidR="00491BB2" w:rsidRPr="00491B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b/>
                      <w:bCs/>
                      <w:color w:val="000000"/>
                      <w:sz w:val="19"/>
                      <w:szCs w:val="19"/>
                      <w:lang w:eastAsia="ru-RU"/>
                    </w:rPr>
                    <w:t>Ремонтная операция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b/>
                      <w:bCs/>
                      <w:color w:val="000000"/>
                      <w:sz w:val="19"/>
                      <w:szCs w:val="19"/>
                      <w:lang w:eastAsia="ru-RU"/>
                    </w:rPr>
                    <w:t>Норма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b/>
                      <w:bCs/>
                      <w:color w:val="000000"/>
                      <w:sz w:val="19"/>
                      <w:szCs w:val="19"/>
                      <w:lang w:eastAsia="ru-RU"/>
                    </w:rPr>
                    <w:t>Коды операций</w:t>
                  </w:r>
                </w:p>
              </w:tc>
            </w:tr>
            <w:tr w:rsidR="00491BB2" w:rsidRPr="00491B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Замена обоих датчиков температуры отработавших газов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0,2 ч</w:t>
                  </w:r>
                </w:p>
              </w:tc>
              <w:tc>
                <w:tcPr>
                  <w:tcW w:w="0" w:type="auto"/>
                  <w:tcBorders>
                    <w:top w:val="outset" w:sz="6" w:space="0" w:color="auto"/>
                    <w:left w:val="outset" w:sz="6" w:space="0" w:color="auto"/>
                    <w:bottom w:val="outset" w:sz="6" w:space="0" w:color="auto"/>
                    <w:right w:val="outset" w:sz="6" w:space="0" w:color="auto"/>
                  </w:tcBorders>
                  <w:vAlign w:val="center"/>
                  <w:hideMark/>
                </w:tcPr>
                <w:p w:rsidR="00491BB2" w:rsidRPr="00491BB2" w:rsidRDefault="00491BB2" w:rsidP="00491BB2">
                  <w:pPr>
                    <w:spacing w:after="0" w:line="240" w:lineRule="auto"/>
                    <w:rPr>
                      <w:rFonts w:ascii="Verdana" w:eastAsia="Times New Roman" w:hAnsi="Verdana" w:cs="Times New Roman"/>
                      <w:color w:val="000000"/>
                      <w:sz w:val="19"/>
                      <w:szCs w:val="19"/>
                      <w:lang w:eastAsia="ru-RU"/>
                    </w:rPr>
                  </w:pPr>
                  <w:r w:rsidRPr="00491BB2">
                    <w:rPr>
                      <w:rFonts w:ascii="Verdana" w:eastAsia="Times New Roman" w:hAnsi="Verdana" w:cs="Times New Roman"/>
                      <w:color w:val="000000"/>
                      <w:sz w:val="19"/>
                      <w:szCs w:val="19"/>
                      <w:lang w:eastAsia="ru-RU"/>
                    </w:rPr>
                    <w:t>A1</w:t>
                  </w:r>
                </w:p>
              </w:tc>
            </w:tr>
          </w:tbl>
          <w:p w:rsidR="00491BB2" w:rsidRPr="00491BB2" w:rsidRDefault="00491BB2" w:rsidP="00491BB2">
            <w:pPr>
              <w:spacing w:after="180" w:line="240" w:lineRule="auto"/>
              <w:rPr>
                <w:rFonts w:ascii="Verdana" w:eastAsia="Times New Roman" w:hAnsi="Verdana" w:cs="Times New Roman"/>
                <w:color w:val="000000"/>
                <w:sz w:val="20"/>
                <w:szCs w:val="20"/>
                <w:lang w:eastAsia="ru-RU"/>
              </w:rPr>
            </w:pPr>
            <w:r w:rsidRPr="00491BB2">
              <w:rPr>
                <w:rFonts w:ascii="Verdana" w:eastAsia="Times New Roman" w:hAnsi="Verdana" w:cs="Times New Roman"/>
                <w:color w:val="000000"/>
                <w:sz w:val="20"/>
                <w:szCs w:val="20"/>
                <w:lang w:eastAsia="ru-RU"/>
              </w:rPr>
              <w:t>Снятые элементы требуется привести в неработоспособное состояние и утилизировать на месте.</w:t>
            </w:r>
          </w:p>
          <w:p w:rsidR="00491BB2" w:rsidRPr="00491BB2" w:rsidRDefault="00491BB2" w:rsidP="00491BB2">
            <w:pPr>
              <w:spacing w:after="180" w:line="240" w:lineRule="auto"/>
              <w:rPr>
                <w:rFonts w:ascii="Verdana" w:eastAsia="Times New Roman" w:hAnsi="Verdana" w:cs="Times New Roman"/>
                <w:color w:val="000000"/>
                <w:sz w:val="20"/>
                <w:szCs w:val="20"/>
                <w:lang w:eastAsia="ru-RU"/>
              </w:rPr>
            </w:pPr>
            <w:r w:rsidRPr="00491BB2">
              <w:rPr>
                <w:rFonts w:ascii="Verdana" w:eastAsia="Times New Roman" w:hAnsi="Verdana" w:cs="Times New Roman"/>
                <w:color w:val="000000"/>
                <w:sz w:val="20"/>
                <w:szCs w:val="20"/>
                <w:lang w:eastAsia="ru-RU"/>
              </w:rPr>
              <w:t>Претензии не будут приниматься после истечения срока этой кампании, указанного в информационном бюллетене.</w:t>
            </w:r>
          </w:p>
        </w:tc>
      </w:tr>
    </w:tbl>
    <w:p w:rsidR="00CB291E" w:rsidRDefault="00CB291E"/>
    <w:sectPr w:rsidR="00CB291E" w:rsidSect="00A34DE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DCB"/>
    <w:multiLevelType w:val="multilevel"/>
    <w:tmpl w:val="6E90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491BB2"/>
    <w:rsid w:val="00491BB2"/>
    <w:rsid w:val="007F70E3"/>
    <w:rsid w:val="00A34DE1"/>
    <w:rsid w:val="00CB2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BB2"/>
    <w:rPr>
      <w:strike w:val="0"/>
      <w:dstrike w:val="0"/>
      <w:color w:val="0000FF"/>
      <w:u w:val="none"/>
      <w:effect w:val="none"/>
    </w:rPr>
  </w:style>
  <w:style w:type="paragraph" w:styleId="a4">
    <w:name w:val="Normal (Web)"/>
    <w:basedOn w:val="a"/>
    <w:uiPriority w:val="99"/>
    <w:unhideWhenUsed/>
    <w:rsid w:val="00491BB2"/>
    <w:pPr>
      <w:spacing w:after="180" w:line="240" w:lineRule="auto"/>
    </w:pPr>
    <w:rPr>
      <w:rFonts w:ascii="Times New Roman" w:eastAsia="Times New Roman" w:hAnsi="Times New Roman" w:cs="Times New Roman"/>
      <w:sz w:val="20"/>
      <w:szCs w:val="20"/>
      <w:lang w:eastAsia="ru-RU"/>
    </w:rPr>
  </w:style>
  <w:style w:type="character" w:customStyle="1" w:styleId="printicon1">
    <w:name w:val="printicon1"/>
    <w:basedOn w:val="a0"/>
    <w:rsid w:val="00491BB2"/>
  </w:style>
  <w:style w:type="paragraph" w:styleId="a5">
    <w:name w:val="Balloon Text"/>
    <w:basedOn w:val="a"/>
    <w:link w:val="a6"/>
    <w:uiPriority w:val="99"/>
    <w:semiHidden/>
    <w:unhideWhenUsed/>
    <w:rsid w:val="00491B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164594">
      <w:bodyDiv w:val="1"/>
      <w:marLeft w:val="0"/>
      <w:marRight w:val="0"/>
      <w:marTop w:val="0"/>
      <w:marBottom w:val="0"/>
      <w:divBdr>
        <w:top w:val="none" w:sz="0" w:space="0" w:color="auto"/>
        <w:left w:val="none" w:sz="0" w:space="0" w:color="auto"/>
        <w:bottom w:val="none" w:sz="0" w:space="0" w:color="auto"/>
        <w:right w:val="none" w:sz="0" w:space="0" w:color="auto"/>
      </w:divBdr>
      <w:divsChild>
        <w:div w:id="1680814519">
          <w:marLeft w:val="0"/>
          <w:marRight w:val="0"/>
          <w:marTop w:val="0"/>
          <w:marBottom w:val="0"/>
          <w:divBdr>
            <w:top w:val="none" w:sz="0" w:space="0" w:color="auto"/>
            <w:left w:val="none" w:sz="0" w:space="0" w:color="auto"/>
            <w:bottom w:val="single" w:sz="6" w:space="0" w:color="003F87"/>
            <w:right w:val="single" w:sz="6" w:space="0" w:color="003F87"/>
          </w:divBdr>
        </w:div>
        <w:div w:id="1028027811">
          <w:marLeft w:val="0"/>
          <w:marRight w:val="0"/>
          <w:marTop w:val="0"/>
          <w:marBottom w:val="0"/>
          <w:divBdr>
            <w:top w:val="none" w:sz="0" w:space="0" w:color="auto"/>
            <w:left w:val="none" w:sz="0" w:space="0" w:color="auto"/>
            <w:bottom w:val="none" w:sz="0" w:space="0" w:color="auto"/>
            <w:right w:val="none" w:sz="0" w:space="0" w:color="auto"/>
          </w:divBdr>
        </w:div>
        <w:div w:id="375814995">
          <w:marLeft w:val="0"/>
          <w:marRight w:val="0"/>
          <w:marTop w:val="0"/>
          <w:marBottom w:val="0"/>
          <w:divBdr>
            <w:top w:val="none" w:sz="0" w:space="0" w:color="auto"/>
            <w:left w:val="none" w:sz="0" w:space="0" w:color="auto"/>
            <w:bottom w:val="none" w:sz="0" w:space="0" w:color="auto"/>
            <w:right w:val="none" w:sz="0" w:space="0" w:color="auto"/>
          </w:divBdr>
        </w:div>
        <w:div w:id="1576361307">
          <w:marLeft w:val="0"/>
          <w:marRight w:val="0"/>
          <w:marTop w:val="30"/>
          <w:marBottom w:val="0"/>
          <w:divBdr>
            <w:top w:val="none" w:sz="0" w:space="0" w:color="auto"/>
            <w:left w:val="none" w:sz="0" w:space="0" w:color="auto"/>
            <w:bottom w:val="none" w:sz="0" w:space="0" w:color="auto"/>
            <w:right w:val="none" w:sz="0" w:space="0" w:color="auto"/>
          </w:divBdr>
        </w:div>
        <w:div w:id="99841740">
          <w:marLeft w:val="0"/>
          <w:marRight w:val="0"/>
          <w:marTop w:val="200"/>
          <w:marBottom w:val="0"/>
          <w:divBdr>
            <w:top w:val="none" w:sz="0" w:space="0" w:color="auto"/>
            <w:left w:val="none" w:sz="0" w:space="0" w:color="auto"/>
            <w:bottom w:val="none" w:sz="0" w:space="0" w:color="auto"/>
            <w:right w:val="none" w:sz="0" w:space="0" w:color="auto"/>
          </w:divBdr>
        </w:div>
        <w:div w:id="764884264">
          <w:marLeft w:val="0"/>
          <w:marRight w:val="0"/>
          <w:marTop w:val="200"/>
          <w:marBottom w:val="0"/>
          <w:divBdr>
            <w:top w:val="none" w:sz="0" w:space="0" w:color="auto"/>
            <w:left w:val="none" w:sz="0" w:space="0" w:color="auto"/>
            <w:bottom w:val="none" w:sz="0" w:space="0" w:color="auto"/>
            <w:right w:val="none" w:sz="0" w:space="0" w:color="auto"/>
          </w:divBdr>
        </w:div>
        <w:div w:id="1593128288">
          <w:marLeft w:val="0"/>
          <w:marRight w:val="0"/>
          <w:marTop w:val="200"/>
          <w:marBottom w:val="0"/>
          <w:divBdr>
            <w:top w:val="none" w:sz="0" w:space="0" w:color="auto"/>
            <w:left w:val="none" w:sz="0" w:space="0" w:color="auto"/>
            <w:bottom w:val="none" w:sz="0" w:space="0" w:color="auto"/>
            <w:right w:val="none" w:sz="0" w:space="0" w:color="auto"/>
          </w:divBdr>
        </w:div>
        <w:div w:id="1290088678">
          <w:marLeft w:val="0"/>
          <w:marRight w:val="0"/>
          <w:marTop w:val="200"/>
          <w:marBottom w:val="0"/>
          <w:divBdr>
            <w:top w:val="none" w:sz="0" w:space="0" w:color="auto"/>
            <w:left w:val="none" w:sz="0" w:space="0" w:color="auto"/>
            <w:bottom w:val="none" w:sz="0" w:space="0" w:color="auto"/>
            <w:right w:val="none" w:sz="0" w:space="0" w:color="auto"/>
          </w:divBdr>
        </w:div>
        <w:div w:id="1000161722">
          <w:marLeft w:val="0"/>
          <w:marRight w:val="0"/>
          <w:marTop w:val="0"/>
          <w:marBottom w:val="0"/>
          <w:divBdr>
            <w:top w:val="none" w:sz="0" w:space="0" w:color="auto"/>
            <w:left w:val="none" w:sz="0" w:space="0" w:color="auto"/>
            <w:bottom w:val="none" w:sz="0" w:space="0" w:color="auto"/>
            <w:right w:val="none" w:sz="0" w:space="0" w:color="auto"/>
          </w:divBdr>
        </w:div>
        <w:div w:id="606667307">
          <w:marLeft w:val="0"/>
          <w:marRight w:val="0"/>
          <w:marTop w:val="200"/>
          <w:marBottom w:val="0"/>
          <w:divBdr>
            <w:top w:val="none" w:sz="0" w:space="0" w:color="auto"/>
            <w:left w:val="none" w:sz="0" w:space="0" w:color="auto"/>
            <w:bottom w:val="none" w:sz="0" w:space="0" w:color="auto"/>
            <w:right w:val="none" w:sz="0" w:space="0" w:color="auto"/>
          </w:divBdr>
        </w:div>
        <w:div w:id="1162042301">
          <w:marLeft w:val="0"/>
          <w:marRight w:val="0"/>
          <w:marTop w:val="0"/>
          <w:marBottom w:val="0"/>
          <w:divBdr>
            <w:top w:val="none" w:sz="0" w:space="0" w:color="auto"/>
            <w:left w:val="none" w:sz="0" w:space="0" w:color="auto"/>
            <w:bottom w:val="none" w:sz="0" w:space="0" w:color="auto"/>
            <w:right w:val="none" w:sz="0" w:space="0" w:color="auto"/>
          </w:divBdr>
        </w:div>
        <w:div w:id="35785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tis.dealerconnection.com/fsa/view.do?code=8U217&amp;typ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etis.dealerconnection.com/fsa/view.do?code=8U217&amp;type=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Company>Microsoft</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2009-02-25T19:22:00Z</dcterms:created>
  <dcterms:modified xsi:type="dcterms:W3CDTF">2009-02-25T19:23:00Z</dcterms:modified>
</cp:coreProperties>
</file>